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0" w:rsidRPr="00D41424" w:rsidRDefault="008F4C9D" w:rsidP="00D41424">
      <w:pPr>
        <w:jc w:val="center"/>
        <w:rPr>
          <w:rFonts w:hint="eastAsia"/>
        </w:rPr>
      </w:pPr>
      <w:r w:rsidRPr="00D41424">
        <w:rPr>
          <w:rFonts w:hint="eastAsia"/>
          <w:b/>
          <w:bCs/>
          <w:sz w:val="30"/>
          <w:szCs w:val="30"/>
          <w:shd w:val="clear" w:color="auto" w:fill="FFFFFF"/>
        </w:rPr>
        <w:t>泰州学院大学生活动中心办公室改造项目询价通知书</w:t>
      </w:r>
    </w:p>
    <w:p w:rsidR="008F4C9D" w:rsidRDefault="008F4C9D">
      <w:pPr>
        <w:rPr>
          <w:rFonts w:hint="eastAsia"/>
        </w:rPr>
      </w:pP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泰州学院因学工处、团委办公使用的实际需求，拟将济川校区大学生活动中心相关办公室进行改造，现采用询价方式面向社会进行招标。具体内容如下：</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t>一、项目概况</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1.项目名称：大学生活动中心相关办公室改造项目</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2.采购编号：TZXYZBCG20160301</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3.采购预算：4.85万元整</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t>二、投标商资质</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1.投标商须符合《中华人民共和国政府采购法》第二十二条、《中华人民共和国政府采购法实施条例》第十七条的规定。</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2.投标商必须是中国境内注册的具有独立承担民事责任能力的企事业法人。</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3.本次招标不接受联合体投标。</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4.本次招标必须由法定代表人或其委托代理人（具有法定代表人签署的授权书）参加。</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t>三、业务需求</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Simsun" w:eastAsia="宋体" w:hAnsi="Simsun" w:cs="宋体"/>
          <w:color w:val="262626"/>
          <w:kern w:val="0"/>
          <w:szCs w:val="21"/>
        </w:rPr>
        <w:lastRenderedPageBreak/>
        <w:t> </w:t>
      </w:r>
    </w:p>
    <w:tbl>
      <w:tblPr>
        <w:tblW w:w="9000" w:type="dxa"/>
        <w:shd w:val="clear" w:color="auto" w:fill="FFFFFF"/>
        <w:tblCellMar>
          <w:left w:w="105" w:type="dxa"/>
          <w:right w:w="105" w:type="dxa"/>
        </w:tblCellMar>
        <w:tblLook w:val="04A0"/>
      </w:tblPr>
      <w:tblGrid>
        <w:gridCol w:w="958"/>
        <w:gridCol w:w="1693"/>
        <w:gridCol w:w="5360"/>
        <w:gridCol w:w="989"/>
      </w:tblGrid>
      <w:tr w:rsidR="00D41424" w:rsidRPr="00D41424" w:rsidTr="00D41424">
        <w:trPr>
          <w:trHeight w:val="450"/>
        </w:trPr>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序号</w:t>
            </w:r>
          </w:p>
        </w:tc>
        <w:tc>
          <w:tcPr>
            <w:tcW w:w="1695"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楼宇</w:t>
            </w:r>
          </w:p>
        </w:tc>
        <w:tc>
          <w:tcPr>
            <w:tcW w:w="5370"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改造项目</w:t>
            </w:r>
          </w:p>
        </w:tc>
        <w:tc>
          <w:tcPr>
            <w:tcW w:w="990"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备注</w:t>
            </w:r>
          </w:p>
        </w:tc>
      </w:tr>
      <w:tr w:rsidR="00D41424" w:rsidRPr="00D41424" w:rsidTr="00D41424">
        <w:trPr>
          <w:trHeight w:val="510"/>
        </w:trPr>
        <w:tc>
          <w:tcPr>
            <w:tcW w:w="960" w:type="dxa"/>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1</w:t>
            </w:r>
          </w:p>
        </w:tc>
        <w:tc>
          <w:tcPr>
            <w:tcW w:w="169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1F2#室</w:t>
            </w:r>
          </w:p>
        </w:tc>
        <w:tc>
          <w:tcPr>
            <w:tcW w:w="537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left"/>
              <w:rPr>
                <w:rFonts w:ascii="Simsun" w:eastAsia="宋体" w:hAnsi="Simsun" w:cs="宋体"/>
                <w:kern w:val="0"/>
                <w:sz w:val="18"/>
                <w:szCs w:val="18"/>
              </w:rPr>
            </w:pPr>
            <w:r w:rsidRPr="00D41424">
              <w:rPr>
                <w:rFonts w:ascii="仿宋_GB2312" w:eastAsia="仿宋_GB2312" w:hAnsi="Simsun" w:cs="宋体" w:hint="eastAsia"/>
                <w:kern w:val="0"/>
                <w:sz w:val="24"/>
                <w:szCs w:val="24"/>
              </w:rPr>
              <w:t>由中间隔开成2间办公室，同时将电源、空调开关、网络接口等进行相应调整，保证办公室能独立使用，1F2#西边办公室门由消防箱东边破墙开门一扇</w:t>
            </w:r>
          </w:p>
        </w:tc>
        <w:tc>
          <w:tcPr>
            <w:tcW w:w="99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r>
      <w:tr w:rsidR="00D41424" w:rsidRPr="00D41424" w:rsidTr="00D41424">
        <w:trPr>
          <w:trHeight w:val="510"/>
        </w:trPr>
        <w:tc>
          <w:tcPr>
            <w:tcW w:w="960" w:type="dxa"/>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2</w:t>
            </w:r>
          </w:p>
        </w:tc>
        <w:tc>
          <w:tcPr>
            <w:tcW w:w="169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3F2#室</w:t>
            </w:r>
          </w:p>
        </w:tc>
        <w:tc>
          <w:tcPr>
            <w:tcW w:w="537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left"/>
              <w:rPr>
                <w:rFonts w:ascii="Simsun" w:eastAsia="宋体" w:hAnsi="Simsun" w:cs="宋体"/>
                <w:kern w:val="0"/>
                <w:sz w:val="18"/>
                <w:szCs w:val="18"/>
              </w:rPr>
            </w:pPr>
            <w:r w:rsidRPr="00D41424">
              <w:rPr>
                <w:rFonts w:ascii="仿宋_GB2312" w:eastAsia="仿宋_GB2312" w:hAnsi="Simsun" w:cs="宋体" w:hint="eastAsia"/>
                <w:kern w:val="0"/>
                <w:sz w:val="24"/>
                <w:szCs w:val="24"/>
              </w:rPr>
              <w:t>把西侧、南侧进行隔断使会议室相对方正，同时向内开一扇门，将隔开的空间作为储藏室使用，同时将电源、空调开关、网络接口等进行相应调整并预埋进会议系统线路</w:t>
            </w:r>
          </w:p>
        </w:tc>
        <w:tc>
          <w:tcPr>
            <w:tcW w:w="99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r>
      <w:tr w:rsidR="00D41424" w:rsidRPr="00D41424" w:rsidTr="00D41424">
        <w:trPr>
          <w:trHeight w:val="525"/>
        </w:trPr>
        <w:tc>
          <w:tcPr>
            <w:tcW w:w="960" w:type="dxa"/>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3</w:t>
            </w:r>
          </w:p>
        </w:tc>
        <w:tc>
          <w:tcPr>
            <w:tcW w:w="169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3F4#室</w:t>
            </w:r>
          </w:p>
        </w:tc>
        <w:tc>
          <w:tcPr>
            <w:tcW w:w="537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left"/>
              <w:rPr>
                <w:rFonts w:ascii="Simsun" w:eastAsia="宋体" w:hAnsi="Simsun" w:cs="宋体"/>
                <w:kern w:val="0"/>
                <w:sz w:val="18"/>
                <w:szCs w:val="18"/>
              </w:rPr>
            </w:pPr>
            <w:r w:rsidRPr="00D41424">
              <w:rPr>
                <w:rFonts w:ascii="仿宋_GB2312" w:eastAsia="仿宋_GB2312" w:hAnsi="Simsun" w:cs="宋体" w:hint="eastAsia"/>
                <w:kern w:val="0"/>
                <w:sz w:val="24"/>
                <w:szCs w:val="24"/>
              </w:rPr>
              <w:t>由中间隔开成2间办公室，同时将电源、空调开关、网络接口等进行相应调整，保证办公室能独立使用</w:t>
            </w:r>
          </w:p>
        </w:tc>
        <w:tc>
          <w:tcPr>
            <w:tcW w:w="99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r>
      <w:tr w:rsidR="00D41424" w:rsidRPr="00D41424" w:rsidTr="00D41424">
        <w:trPr>
          <w:trHeight w:val="270"/>
        </w:trPr>
        <w:tc>
          <w:tcPr>
            <w:tcW w:w="960" w:type="dxa"/>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4</w:t>
            </w:r>
          </w:p>
        </w:tc>
        <w:tc>
          <w:tcPr>
            <w:tcW w:w="169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仿宋_GB2312" w:eastAsia="仿宋_GB2312" w:hAnsi="Simsun" w:cs="宋体" w:hint="eastAsia"/>
                <w:kern w:val="0"/>
                <w:sz w:val="24"/>
                <w:szCs w:val="24"/>
              </w:rPr>
              <w:t>3F5#室</w:t>
            </w:r>
          </w:p>
        </w:tc>
        <w:tc>
          <w:tcPr>
            <w:tcW w:w="537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left"/>
              <w:rPr>
                <w:rFonts w:ascii="Simsun" w:eastAsia="宋体" w:hAnsi="Simsun" w:cs="宋体"/>
                <w:kern w:val="0"/>
                <w:sz w:val="18"/>
                <w:szCs w:val="18"/>
              </w:rPr>
            </w:pPr>
            <w:r w:rsidRPr="00D41424">
              <w:rPr>
                <w:rFonts w:ascii="仿宋_GB2312" w:eastAsia="仿宋_GB2312" w:hAnsi="Simsun" w:cs="宋体" w:hint="eastAsia"/>
                <w:kern w:val="0"/>
                <w:sz w:val="24"/>
                <w:szCs w:val="24"/>
              </w:rPr>
              <w:t>由中间隔开成2间办公室，同时将电源、空调开关、网络接口等进行相应调整，保证办公室能独立使用</w:t>
            </w:r>
          </w:p>
        </w:tc>
        <w:tc>
          <w:tcPr>
            <w:tcW w:w="99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r>
    </w:tbl>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t>（一）、施工要求：</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1.10CM</w:t>
      </w:r>
      <w:proofErr w:type="gramStart"/>
      <w:r w:rsidRPr="00D41424">
        <w:rPr>
          <w:rFonts w:ascii="仿宋_GB2312" w:eastAsia="仿宋_GB2312" w:hAnsi="Simsun" w:cs="宋体" w:hint="eastAsia"/>
          <w:color w:val="262626"/>
          <w:kern w:val="0"/>
          <w:sz w:val="30"/>
          <w:szCs w:val="30"/>
        </w:rPr>
        <w:t>宽轻钢</w:t>
      </w:r>
      <w:proofErr w:type="gramEnd"/>
      <w:r w:rsidRPr="00D41424">
        <w:rPr>
          <w:rFonts w:ascii="仿宋_GB2312" w:eastAsia="仿宋_GB2312" w:hAnsi="Simsun" w:cs="宋体" w:hint="eastAsia"/>
          <w:color w:val="262626"/>
          <w:kern w:val="0"/>
          <w:sz w:val="30"/>
          <w:szCs w:val="30"/>
        </w:rPr>
        <w:t>龙骨隔断，中部填充隔音棉，两侧加木工板固定后附加纸面石膏板；</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2.隔断批腻子2遍，磨平后刷内墙涂料2遍，涂料需进行电脑配色，和现有墙壁颜色保持基本一致；</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3.电源、空调开关、网络接口等所用材料需采用国标，必须走暗线。</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4.施工期备足脚手架，不得使用桌凳做脚手，施工安全责任自负。施工时注意对现场环境、成品与半成品的保护，做到工完场清。</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lastRenderedPageBreak/>
        <w:t>（二）、质量要求：</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1.质保期3年，与基层粘接牢固，表面平整光滑，保质期内无起皮剥落，质保期内如有问题，施工方须无偿修复。</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2.油漆（涂料）符合国家环保要求，施工材料进场前必须由学校后勤管理处认可，施工工序由学校后勤管理处监督实施；</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t>四、投标报价</w:t>
      </w:r>
    </w:p>
    <w:p w:rsidR="00D41424" w:rsidRPr="00D41424" w:rsidRDefault="00D41424" w:rsidP="00D41424">
      <w:pPr>
        <w:widowControl/>
        <w:shd w:val="clear" w:color="auto" w:fill="FFFFFF"/>
        <w:spacing w:before="100" w:beforeAutospacing="1" w:after="100" w:afterAutospacing="1" w:line="495" w:lineRule="atLeast"/>
        <w:jc w:val="center"/>
        <w:rPr>
          <w:rFonts w:ascii="Simsun" w:eastAsia="宋体" w:hAnsi="Simsun" w:cs="宋体"/>
          <w:color w:val="262626"/>
          <w:kern w:val="0"/>
          <w:szCs w:val="21"/>
        </w:rPr>
      </w:pPr>
      <w:r w:rsidRPr="00D41424">
        <w:rPr>
          <w:rFonts w:ascii="宋体" w:eastAsia="宋体" w:hAnsi="宋体" w:cs="宋体" w:hint="eastAsia"/>
          <w:color w:val="262626"/>
          <w:kern w:val="0"/>
          <w:sz w:val="29"/>
          <w:szCs w:val="29"/>
        </w:rPr>
        <w:t>投标报价表</w:t>
      </w:r>
    </w:p>
    <w:p w:rsidR="00D41424" w:rsidRPr="00D41424" w:rsidRDefault="00D41424" w:rsidP="00D41424">
      <w:pPr>
        <w:widowControl/>
        <w:shd w:val="clear" w:color="auto" w:fill="FFFFFF"/>
        <w:spacing w:before="100" w:beforeAutospacing="1" w:after="100" w:afterAutospacing="1" w:line="495" w:lineRule="atLeast"/>
        <w:jc w:val="left"/>
        <w:rPr>
          <w:rFonts w:ascii="Simsun" w:eastAsia="宋体" w:hAnsi="Simsun" w:cs="宋体"/>
          <w:color w:val="262626"/>
          <w:kern w:val="0"/>
          <w:szCs w:val="21"/>
        </w:rPr>
      </w:pPr>
      <w:r w:rsidRPr="00D41424">
        <w:rPr>
          <w:rFonts w:ascii="宋体" w:eastAsia="宋体" w:hAnsi="宋体" w:cs="宋体" w:hint="eastAsia"/>
          <w:color w:val="262626"/>
          <w:kern w:val="0"/>
          <w:sz w:val="29"/>
          <w:szCs w:val="29"/>
        </w:rPr>
        <w:t>投标单位公章:</w:t>
      </w:r>
      <w:r w:rsidRPr="00D41424">
        <w:rPr>
          <w:rFonts w:ascii="宋体" w:eastAsia="宋体" w:hAnsi="宋体" w:cs="宋体" w:hint="eastAsia"/>
          <w:color w:val="262626"/>
          <w:kern w:val="0"/>
          <w:szCs w:val="21"/>
        </w:rPr>
        <w:t>  </w:t>
      </w:r>
    </w:p>
    <w:tbl>
      <w:tblPr>
        <w:tblW w:w="8595" w:type="dxa"/>
        <w:shd w:val="clear" w:color="auto" w:fill="FFFFFF"/>
        <w:tblCellMar>
          <w:left w:w="105" w:type="dxa"/>
          <w:right w:w="105" w:type="dxa"/>
        </w:tblCellMar>
        <w:tblLook w:val="04A0"/>
      </w:tblPr>
      <w:tblGrid>
        <w:gridCol w:w="909"/>
        <w:gridCol w:w="1401"/>
        <w:gridCol w:w="1155"/>
        <w:gridCol w:w="973"/>
        <w:gridCol w:w="1753"/>
        <w:gridCol w:w="1785"/>
        <w:gridCol w:w="845"/>
      </w:tblGrid>
      <w:tr w:rsidR="00D41424" w:rsidRPr="00D41424" w:rsidTr="00D41424">
        <w:trPr>
          <w:trHeight w:val="435"/>
        </w:trPr>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序号</w:t>
            </w:r>
          </w:p>
        </w:tc>
        <w:tc>
          <w:tcPr>
            <w:tcW w:w="1545"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名称</w:t>
            </w:r>
          </w:p>
        </w:tc>
        <w:tc>
          <w:tcPr>
            <w:tcW w:w="1200"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规格</w:t>
            </w:r>
          </w:p>
        </w:tc>
        <w:tc>
          <w:tcPr>
            <w:tcW w:w="945"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数量</w:t>
            </w:r>
          </w:p>
        </w:tc>
        <w:tc>
          <w:tcPr>
            <w:tcW w:w="1620"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投标单价（元）</w:t>
            </w:r>
          </w:p>
        </w:tc>
        <w:tc>
          <w:tcPr>
            <w:tcW w:w="1665"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投标合计（元）</w:t>
            </w:r>
          </w:p>
        </w:tc>
        <w:tc>
          <w:tcPr>
            <w:tcW w:w="765" w:type="dxa"/>
            <w:tcBorders>
              <w:top w:val="single" w:sz="6" w:space="0" w:color="000000"/>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备注</w:t>
            </w:r>
          </w:p>
        </w:tc>
      </w:tr>
      <w:tr w:rsidR="00D41424" w:rsidRPr="00D41424" w:rsidTr="00D41424">
        <w:trPr>
          <w:trHeight w:val="435"/>
        </w:trPr>
        <w:tc>
          <w:tcPr>
            <w:tcW w:w="855" w:type="dxa"/>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1</w:t>
            </w:r>
          </w:p>
        </w:tc>
        <w:tc>
          <w:tcPr>
            <w:tcW w:w="154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120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94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166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76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r>
      <w:tr w:rsidR="00D41424" w:rsidRPr="00D41424" w:rsidTr="00D41424">
        <w:trPr>
          <w:trHeight w:val="435"/>
        </w:trPr>
        <w:tc>
          <w:tcPr>
            <w:tcW w:w="855" w:type="dxa"/>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center"/>
              <w:rPr>
                <w:rFonts w:ascii="Simsun" w:eastAsia="宋体" w:hAnsi="Simsun" w:cs="宋体"/>
                <w:kern w:val="0"/>
                <w:sz w:val="18"/>
                <w:szCs w:val="18"/>
              </w:rPr>
            </w:pPr>
            <w:r w:rsidRPr="00D41424">
              <w:rPr>
                <w:rFonts w:ascii="宋体" w:eastAsia="宋体" w:hAnsi="宋体" w:cs="宋体" w:hint="eastAsia"/>
                <w:kern w:val="0"/>
                <w:szCs w:val="21"/>
              </w:rPr>
              <w:t>2</w:t>
            </w:r>
          </w:p>
        </w:tc>
        <w:tc>
          <w:tcPr>
            <w:tcW w:w="154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120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94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1620"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166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c>
          <w:tcPr>
            <w:tcW w:w="765" w:type="dxa"/>
            <w:tcBorders>
              <w:top w:val="nil"/>
              <w:left w:val="nil"/>
              <w:bottom w:val="single" w:sz="6" w:space="0" w:color="000000"/>
              <w:right w:val="single" w:sz="6" w:space="0" w:color="000000"/>
            </w:tcBorders>
            <w:shd w:val="clear" w:color="auto" w:fill="FFFFFF"/>
            <w:vAlign w:val="center"/>
            <w:hideMark/>
          </w:tcPr>
          <w:p w:rsidR="00D41424" w:rsidRPr="00D41424" w:rsidRDefault="00D41424" w:rsidP="00D41424">
            <w:pPr>
              <w:widowControl/>
              <w:jc w:val="left"/>
              <w:rPr>
                <w:rFonts w:ascii="Simsun" w:eastAsia="宋体" w:hAnsi="Simsun" w:cs="宋体"/>
                <w:kern w:val="0"/>
                <w:sz w:val="18"/>
                <w:szCs w:val="18"/>
              </w:rPr>
            </w:pPr>
          </w:p>
        </w:tc>
      </w:tr>
      <w:tr w:rsidR="00D41424" w:rsidRPr="00D41424" w:rsidTr="00D41424">
        <w:trPr>
          <w:trHeight w:val="435"/>
        </w:trPr>
        <w:tc>
          <w:tcPr>
            <w:tcW w:w="8595" w:type="dxa"/>
            <w:gridSpan w:val="7"/>
            <w:tcBorders>
              <w:top w:val="nil"/>
              <w:left w:val="single" w:sz="6" w:space="0" w:color="000000"/>
              <w:bottom w:val="single" w:sz="6" w:space="0" w:color="000000"/>
              <w:right w:val="single" w:sz="6" w:space="0" w:color="000000"/>
            </w:tcBorders>
            <w:shd w:val="clear" w:color="auto" w:fill="FFFFFF"/>
            <w:vAlign w:val="center"/>
            <w:hideMark/>
          </w:tcPr>
          <w:p w:rsidR="00D41424" w:rsidRPr="00D41424" w:rsidRDefault="00D41424" w:rsidP="00D41424">
            <w:pPr>
              <w:widowControl/>
              <w:spacing w:before="100" w:beforeAutospacing="1" w:after="100" w:afterAutospacing="1"/>
              <w:jc w:val="left"/>
              <w:rPr>
                <w:rFonts w:ascii="Simsun" w:eastAsia="宋体" w:hAnsi="Simsun" w:cs="宋体"/>
                <w:kern w:val="0"/>
                <w:sz w:val="18"/>
                <w:szCs w:val="18"/>
              </w:rPr>
            </w:pPr>
            <w:r w:rsidRPr="00D41424">
              <w:rPr>
                <w:rFonts w:ascii="宋体" w:eastAsia="宋体" w:hAnsi="宋体" w:cs="宋体" w:hint="eastAsia"/>
                <w:kern w:val="0"/>
                <w:szCs w:val="21"/>
              </w:rPr>
              <w:t>投标总价：                                      元</w:t>
            </w:r>
          </w:p>
        </w:tc>
      </w:tr>
    </w:tbl>
    <w:p w:rsidR="00D41424" w:rsidRPr="00D41424" w:rsidRDefault="00D41424" w:rsidP="00D41424">
      <w:pPr>
        <w:widowControl/>
        <w:shd w:val="clear" w:color="auto" w:fill="FFFFFF"/>
        <w:spacing w:before="100" w:beforeAutospacing="1" w:after="100" w:afterAutospacing="1" w:line="495" w:lineRule="atLeast"/>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法定代表人或其授权代表签字：</w:t>
      </w:r>
    </w:p>
    <w:p w:rsidR="00D41424" w:rsidRPr="00D41424" w:rsidRDefault="00D41424" w:rsidP="00D41424">
      <w:pPr>
        <w:widowControl/>
        <w:shd w:val="clear" w:color="auto" w:fill="FFFFFF"/>
        <w:spacing w:before="100" w:beforeAutospacing="1" w:after="100" w:afterAutospacing="1" w:line="495" w:lineRule="atLeast"/>
        <w:jc w:val="left"/>
        <w:rPr>
          <w:rFonts w:ascii="Simsun" w:eastAsia="宋体" w:hAnsi="Simsun" w:cs="宋体"/>
          <w:color w:val="262626"/>
          <w:kern w:val="0"/>
          <w:szCs w:val="21"/>
        </w:rPr>
      </w:pPr>
      <w:r w:rsidRPr="00D41424">
        <w:rPr>
          <w:rFonts w:ascii="仿宋_GB2312" w:eastAsia="仿宋_GB2312" w:hAnsi="Simsun" w:cs="宋体" w:hint="eastAsia"/>
          <w:b/>
          <w:bCs/>
          <w:color w:val="262626"/>
          <w:kern w:val="0"/>
          <w:sz w:val="30"/>
          <w:szCs w:val="30"/>
        </w:rPr>
        <w:t>注：</w:t>
      </w:r>
      <w:r w:rsidRPr="00D41424">
        <w:rPr>
          <w:rFonts w:ascii="仿宋_GB2312" w:eastAsia="仿宋_GB2312" w:hAnsi="Simsun" w:cs="宋体" w:hint="eastAsia"/>
          <w:color w:val="262626"/>
          <w:kern w:val="0"/>
          <w:sz w:val="30"/>
          <w:szCs w:val="30"/>
        </w:rPr>
        <w:t>1.所有价格用人民币表示（含税价）。</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2.报价应包括但不限于材料、配件，运费、税费，安装、调试、检测等费用，及其它涉及投标、合同签订、合同履行等必不可少的材料和费用。用户不再支付报价之外的任何费用。</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lastRenderedPageBreak/>
        <w:t>3.所有报价应是唯一的，询价小组不接受任何有选择的报价。如果单价与数量的乘积之和与总价不一致时，以单价为准进行修正；只有在询价小组认为单价有明显的小数点错误时，才能以标出的总价为准，并修改单价。大写与小写不一致时，以大写为准进行修正。施工方拒绝修正的，其响应文件应作无效响应文件处理。</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t>五、交货与验收</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1.交货时间及方式：签订合同后20日内成交施工方根据采购人的要求施工到位，验收合格。</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2.验收：</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（1）验收依据：国家、省及行业有关标准、规范，询价通知书要求、响应文件、等为验收依据。</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（２）施工方提出验收申请后，采购人需在7天内组织专业技术人员及相关部门进行功能验收，否则视同验收通过并签收。</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t>六、付款方式</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1.项目施工完成并经采购人验收合格后，支付合同总价的90%，同时无息退还履约保证金。</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2.正常使用3个月后，采购人支付合同总额的10%。</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lastRenderedPageBreak/>
        <w:t>七、响应文件至少应包含以下材料</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1.施工方《企业法人营业执照》或事业法人证书（复印件加盖施工方公章，原件备查）；</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2.施工方法定代表人证明文件（附法定代表人身份证复印件）或法定代表人授权委托书原件（仅当非法定代表人签署询价文件时提供，附授权代表身份证复印件）；</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3.本询价通知书第二条施工方资质要求的相关承诺以及其他证明材料和证书（承诺为原件材料；证明、证书为复印件加盖施工方单位公章，原件备查）；</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4.报价表（加盖施工方单位公章，并经法定代表人或其授权代表签字）；</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5.本项目的联系人、固定电话、手机、传真；</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6.施工方认为必需的其它文件或材料。</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响应文件应按上述顺序装订成册，并由施工方的法定代表人或其授权代表签名并加盖单位公章（骑缝章）。本次响应文件有效期为30天。</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仿宋_GB2312" w:eastAsia="仿宋_GB2312" w:hAnsi="Simsun" w:cs="宋体" w:hint="eastAsia"/>
          <w:color w:val="262626"/>
          <w:kern w:val="0"/>
          <w:sz w:val="30"/>
          <w:szCs w:val="30"/>
        </w:rPr>
        <w:t>以上响应文件一式叁份（一正贰副，在响应文件封面上标注）。施工方应将响应文件正本和所有副本密封后，由施工方的法定代</w:t>
      </w:r>
      <w:r w:rsidRPr="00D41424">
        <w:rPr>
          <w:rFonts w:ascii="仿宋_GB2312" w:eastAsia="仿宋_GB2312" w:hAnsi="Simsun" w:cs="宋体" w:hint="eastAsia"/>
          <w:color w:val="262626"/>
          <w:kern w:val="0"/>
          <w:sz w:val="30"/>
          <w:szCs w:val="30"/>
        </w:rPr>
        <w:lastRenderedPageBreak/>
        <w:t>表人或其授权代表在外封袋上签名并加盖施工方单位公章。响应文件应在2016年3月11日9时30分之前密封报送到泰州市济川东路泰州学院行政办公楼D1128室。</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t>八、评定成交的标准</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1.询价小组应当从通过资格审查的施工方中按质量和服务均能满足采购文件实质性要求，且报价最低的原则确定成交施工方； </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2.如出现两个或两个以上实质性响应采购文件要求且报价均为最低的施工方，则按签到顺序进行抽签确定成交施工方。</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t>九、保证金</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1.投标保证金金额：人民币贰仟元整</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2.投标保证金在上交投标材料时当面将现金装进自行准备的信封密封，并在密封处加盖本单位公章，在信封醒目处写上投标单位和投标人姓名。未中标单位，在评标结束后立即退还保证金；中标方将投标保证金交至学校财务处，转为履约保证金。</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3.保证金收款单位：泰州农行海陵支行</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开户名：泰州市财政局</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账号：201101040058888</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lastRenderedPageBreak/>
        <w:t>4.投标保证金不予退还的情形：</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（1）施工方在投标有效期内撤回其投标的；</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（2）施工方提供的有关资料、资格证明文件被确认是不真实的；</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（3）成交施工方在规定期限内因自身原因未能按本文件要求与采购人签订合同的；</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（4）施工方在本次投标中，有违法违规行为被查实的。</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成交施工方有上述情形之一的行为的，成交无效，其投标保证金将不予退还。招标人依照本文件规定另行确定成交施工方或重新询价。若成交施工方在执行合同中有任何不履约行为，视情节，用户可从其履约保证金中取得补偿，不足部分，将依法追究其相应的法律责任。</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t>十、时间及地点</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1.考察现场时间：2016年3月7日下午15时</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2.投标开始时间：2016年3月11日上午9时</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  投标截止时间：2016年3月11日上午9时30分</w:t>
      </w:r>
    </w:p>
    <w:p w:rsidR="00D41424" w:rsidRPr="00D41424" w:rsidRDefault="00D41424" w:rsidP="00D41424">
      <w:pPr>
        <w:widowControl/>
        <w:shd w:val="clear" w:color="auto" w:fill="FFFFFF"/>
        <w:spacing w:before="100" w:beforeAutospacing="1" w:after="100" w:afterAutospacing="1" w:line="495" w:lineRule="atLeast"/>
        <w:ind w:firstLine="9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开标时间: 2016年3月11日上午9时30分</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lastRenderedPageBreak/>
        <w:t>3.投标、开标地点：泰州学院行政办公楼D1107室。</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b/>
          <w:bCs/>
          <w:color w:val="262626"/>
          <w:kern w:val="0"/>
          <w:sz w:val="30"/>
          <w:szCs w:val="30"/>
        </w:rPr>
        <w:t>十一、联系方式：</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联系地址：泰州学院行政办公楼D1128室。</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联系人：常老师 </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联系电话：0523-80769112</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Simsun" w:eastAsia="宋体" w:hAnsi="Simsun" w:cs="宋体"/>
          <w:color w:val="262626"/>
          <w:kern w:val="0"/>
          <w:szCs w:val="21"/>
        </w:rPr>
        <w:t>  </w:t>
      </w:r>
    </w:p>
    <w:p w:rsidR="00D41424" w:rsidRPr="00D41424" w:rsidRDefault="00D41424" w:rsidP="00D41424">
      <w:pPr>
        <w:widowControl/>
        <w:shd w:val="clear" w:color="auto" w:fill="FFFFFF"/>
        <w:spacing w:before="100" w:beforeAutospacing="1" w:after="100" w:afterAutospacing="1" w:line="495" w:lineRule="atLeast"/>
        <w:ind w:firstLine="600"/>
        <w:jc w:val="lef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                                                         </w:t>
      </w:r>
      <w:r w:rsidRPr="00D41424">
        <w:rPr>
          <w:rFonts w:ascii="宋体" w:eastAsia="宋体" w:hAnsi="宋体" w:cs="宋体" w:hint="eastAsia"/>
          <w:color w:val="262626"/>
          <w:kern w:val="0"/>
          <w:sz w:val="30"/>
        </w:rPr>
        <w:t> </w:t>
      </w:r>
      <w:r>
        <w:rPr>
          <w:rFonts w:ascii="宋体" w:eastAsia="宋体" w:hAnsi="宋体" w:cs="宋体" w:hint="eastAsia"/>
          <w:color w:val="262626"/>
          <w:kern w:val="0"/>
          <w:sz w:val="30"/>
        </w:rPr>
        <w:t xml:space="preserve">                              </w:t>
      </w:r>
      <w:r w:rsidRPr="00D41424">
        <w:rPr>
          <w:rFonts w:ascii="宋体" w:eastAsia="宋体" w:hAnsi="宋体" w:cs="宋体" w:hint="eastAsia"/>
          <w:color w:val="262626"/>
          <w:kern w:val="0"/>
          <w:sz w:val="30"/>
          <w:szCs w:val="30"/>
        </w:rPr>
        <w:t>泰州学院</w:t>
      </w:r>
    </w:p>
    <w:p w:rsidR="00D41424" w:rsidRPr="00D41424" w:rsidRDefault="00D41424" w:rsidP="00D41424">
      <w:pPr>
        <w:widowControl/>
        <w:shd w:val="clear" w:color="auto" w:fill="FFFFFF"/>
        <w:spacing w:before="100" w:beforeAutospacing="1" w:after="100" w:afterAutospacing="1" w:line="495" w:lineRule="atLeast"/>
        <w:ind w:firstLine="600"/>
        <w:jc w:val="right"/>
        <w:rPr>
          <w:rFonts w:ascii="Simsun" w:eastAsia="宋体" w:hAnsi="Simsun" w:cs="宋体"/>
          <w:color w:val="262626"/>
          <w:kern w:val="0"/>
          <w:szCs w:val="21"/>
        </w:rPr>
      </w:pPr>
      <w:r w:rsidRPr="00D41424">
        <w:rPr>
          <w:rFonts w:ascii="宋体" w:eastAsia="宋体" w:hAnsi="宋体" w:cs="宋体" w:hint="eastAsia"/>
          <w:color w:val="262626"/>
          <w:kern w:val="0"/>
          <w:sz w:val="30"/>
          <w:szCs w:val="30"/>
        </w:rPr>
        <w:t>二〇一六年三月一日</w:t>
      </w:r>
    </w:p>
    <w:p w:rsidR="008F4C9D" w:rsidRPr="00D41424" w:rsidRDefault="008F4C9D">
      <w:pPr>
        <w:rPr>
          <w:rFonts w:hint="eastAsia"/>
        </w:rPr>
      </w:pPr>
    </w:p>
    <w:p w:rsidR="008F4C9D" w:rsidRDefault="008F4C9D"/>
    <w:sectPr w:rsidR="008F4C9D" w:rsidSect="00082B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4C9D"/>
    <w:rsid w:val="00082BE0"/>
    <w:rsid w:val="008F4C9D"/>
    <w:rsid w:val="00D41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424"/>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rsid w:val="00D4142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41424"/>
  </w:style>
</w:styles>
</file>

<file path=word/webSettings.xml><?xml version="1.0" encoding="utf-8"?>
<w:webSettings xmlns:r="http://schemas.openxmlformats.org/officeDocument/2006/relationships" xmlns:w="http://schemas.openxmlformats.org/wordprocessingml/2006/main">
  <w:divs>
    <w:div w:id="17114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2016-11-30T02:15:00Z</dcterms:created>
  <dcterms:modified xsi:type="dcterms:W3CDTF">2016-11-30T02:16:00Z</dcterms:modified>
</cp:coreProperties>
</file>